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Calibri" w:hAnsi="Calibri" w:eastAsia="Batang" w:cs="Tahoma"/>
          <w:b/>
          <w:b/>
          <w:sz w:val="23"/>
          <w:szCs w:val="23"/>
        </w:rPr>
      </w:pPr>
      <w:r>
        <w:rPr>
          <w:rFonts w:eastAsia="Batang" w:cs="Tahoma" w:ascii="Calibri" w:hAnsi="Calibri"/>
          <w:b/>
          <w:sz w:val="23"/>
          <w:szCs w:val="23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center"/>
        <w:rPr>
          <w:sz w:val="24"/>
          <w:szCs w:val="24"/>
        </w:rPr>
      </w:pPr>
      <w:r>
        <w:rPr>
          <w:rFonts w:eastAsia="Calibri" w:cs="Arial" w:ascii="Calibri" w:hAnsi="Calibri"/>
          <w:b/>
          <w:bCs/>
          <w:color w:val="000000" w:themeColor="text1"/>
          <w:sz w:val="24"/>
          <w:szCs w:val="24"/>
        </w:rPr>
        <w:t xml:space="preserve">RESOLUÇÃO Nº </w:t>
      </w:r>
      <w:r>
        <w:rPr>
          <w:rFonts w:eastAsia="Calibri" w:cs="Arial" w:ascii="Calibri" w:hAnsi="Calibri"/>
          <w:b/>
          <w:bCs/>
          <w:color w:val="000000"/>
          <w:sz w:val="24"/>
          <w:szCs w:val="24"/>
        </w:rPr>
        <w:t>03</w:t>
      </w:r>
      <w:r>
        <w:rPr>
          <w:rFonts w:eastAsia="Calibri" w:cs="Arial" w:ascii="Calibri" w:hAnsi="Calibri"/>
          <w:b/>
          <w:bCs/>
          <w:color w:val="000000" w:themeColor="text1"/>
          <w:sz w:val="24"/>
          <w:szCs w:val="24"/>
        </w:rPr>
        <w:t>/CONPRESP/2023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57" w:hanging="0"/>
        <w:jc w:val="both"/>
        <w:rPr>
          <w:rFonts w:ascii="Calibri" w:hAnsi="Calibri" w:cs="Tahoma"/>
          <w:sz w:val="24"/>
          <w:szCs w:val="24"/>
        </w:rPr>
      </w:pPr>
      <w:r>
        <w:rPr>
          <w:rFonts w:cs="Tahoma" w:ascii="Calibri" w:hAnsi="Calibri"/>
          <w:sz w:val="24"/>
          <w:szCs w:val="24"/>
        </w:rPr>
      </w:r>
    </w:p>
    <w:p>
      <w:pPr>
        <w:pStyle w:val="Normal"/>
        <w:spacing w:lineRule="auto" w:line="360"/>
        <w:ind w:right="-2" w:hanging="0"/>
        <w:jc w:val="both"/>
        <w:rPr>
          <w:sz w:val="24"/>
          <w:szCs w:val="24"/>
        </w:rPr>
      </w:pPr>
      <w:r>
        <w:rPr>
          <w:rFonts w:cs="Tahoma" w:ascii="Calibri" w:hAnsi="Calibri"/>
          <w:color w:val="000000"/>
          <w:sz w:val="24"/>
          <w:szCs w:val="24"/>
        </w:rPr>
        <w:t xml:space="preserve">O Conselho Municipal de Preservação do Patrimônio Histórico, Cultural e Ambiental da </w:t>
      </w:r>
      <w:r>
        <w:rPr>
          <w:rFonts w:ascii="Calibri" w:hAnsi="Calibri"/>
          <w:sz w:val="24"/>
          <w:szCs w:val="24"/>
        </w:rPr>
        <w:t xml:space="preserve">Cidade de São Paulo – CONPRESP, no uso de suas atribuições legais e nos termos da Lei n° 10.032, de 27 de dezembro de 1985, alterada pela Lei n° 10.236, de 16 de dezembro de 1986, e pela Lei nº 14.516, de 11 de outubro de 2007, de acordo com a decisão dos Conselheiros presentes à </w:t>
      </w:r>
      <w:r>
        <w:rPr>
          <w:rFonts w:ascii="Calibri" w:hAnsi="Calibri"/>
          <w:b/>
          <w:bCs/>
          <w:sz w:val="24"/>
          <w:szCs w:val="24"/>
        </w:rPr>
        <w:t>770ª Reunião Ordinária</w:t>
      </w:r>
      <w:r>
        <w:rPr>
          <w:rFonts w:ascii="Calibri" w:hAnsi="Calibri"/>
          <w:sz w:val="24"/>
          <w:szCs w:val="24"/>
        </w:rPr>
        <w:t xml:space="preserve">, realizada em </w:t>
      </w:r>
      <w:r>
        <w:rPr>
          <w:rFonts w:ascii="Calibri" w:hAnsi="Calibri"/>
          <w:b/>
          <w:bCs/>
          <w:sz w:val="24"/>
          <w:szCs w:val="24"/>
        </w:rPr>
        <w:t>30 de janeiro de 2023</w:t>
      </w:r>
      <w:r>
        <w:rPr>
          <w:rFonts w:ascii="Calibri" w:hAnsi="Calibri"/>
          <w:sz w:val="24"/>
          <w:szCs w:val="24"/>
        </w:rPr>
        <w:t>, e</w:t>
      </w:r>
    </w:p>
    <w:p>
      <w:pPr>
        <w:pStyle w:val="Normal"/>
        <w:spacing w:lineRule="auto" w:line="36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CONSIDERANDO </w:t>
      </w:r>
      <w:r>
        <w:rPr>
          <w:rFonts w:ascii="Calibri" w:hAnsi="Calibri"/>
          <w:color w:val="000000"/>
          <w:sz w:val="24"/>
          <w:szCs w:val="24"/>
        </w:rPr>
        <w:t xml:space="preserve">a sede do antigo Sitio Itaim, bem cultural situado no distrito do Itaim Bibi, tombado em nível estadual pela resolução SC-46 de 13 de maio de 1982 e </w:t>
      </w:r>
      <w:r>
        <w:rPr>
          <w:rFonts w:ascii="Calibri" w:hAnsi="Calibri"/>
          <w:i/>
          <w:iCs/>
          <w:color w:val="000000"/>
          <w:sz w:val="24"/>
          <w:szCs w:val="24"/>
        </w:rPr>
        <w:t>ex-officio</w:t>
      </w:r>
      <w:r>
        <w:rPr>
          <w:rFonts w:ascii="Calibri" w:hAnsi="Calibri"/>
          <w:color w:val="000000"/>
          <w:sz w:val="24"/>
          <w:szCs w:val="24"/>
        </w:rPr>
        <w:t xml:space="preserve"> em nível municipal pela resolução 05/CONPRESP/1991;</w:t>
      </w:r>
    </w:p>
    <w:p>
      <w:pPr>
        <w:pStyle w:val="Normal"/>
        <w:spacing w:lineRule="auto" w:line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CONSIDERANDO </w:t>
      </w:r>
      <w:r>
        <w:rPr>
          <w:rFonts w:ascii="Calibri" w:hAnsi="Calibri"/>
          <w:color w:val="000000"/>
          <w:sz w:val="24"/>
          <w:szCs w:val="24"/>
        </w:rPr>
        <w:t>que é atribuição do CONPRESP a definição da área de entorno do bem tombado, a ser controlado por sistemas de ordenações espaciais adequadas, conforme o disposto no inciso V do artigo 2º da Lei 10.032, de 27 de dezembro de 1985, incluindo o estabelecimento e a divulgação dos critérios para análise e aprovação de intervenções físicas naquelas áreas;</w:t>
      </w:r>
    </w:p>
    <w:p>
      <w:pPr>
        <w:pStyle w:val="Normal"/>
        <w:spacing w:lineRule="auto" w:line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CONSIDERANDO </w:t>
      </w:r>
      <w:r>
        <w:rPr>
          <w:rFonts w:ascii="Calibri" w:hAnsi="Calibri"/>
          <w:color w:val="000000"/>
          <w:sz w:val="24"/>
          <w:szCs w:val="24"/>
        </w:rPr>
        <w:t>a necessidade de regulamentação da área envoltória de proteção da sede do antigo Sítio Itaim em virtude da trajetória de intervenções relacionadas ao bem, como sua restauração e aprovação do edifício de escritórios na mesma quadra, tratadas em seus processos específicos e inclusive com a participação do Poder Judiciário, assim como das transformações já consolidadas ao longo do tempo no tecido urbano da região;</w:t>
      </w:r>
    </w:p>
    <w:p>
      <w:pPr>
        <w:pStyle w:val="Normal"/>
        <w:spacing w:lineRule="auto" w:line="360"/>
        <w:jc w:val="both"/>
        <w:rPr>
          <w:rFonts w:ascii="Calibri" w:hAnsi="Calibri"/>
          <w:color w:val="FF4000"/>
          <w:sz w:val="24"/>
          <w:szCs w:val="24"/>
        </w:rPr>
      </w:pPr>
      <w:r>
        <w:rPr>
          <w:rFonts w:ascii="Calibri" w:hAnsi="Calibri"/>
          <w:color w:val="FF4000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CONSIDERANDO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 possibilidade de unificação de critérios para novas intervenções - compatíveis com a preservação da ambiência dessa área e de regulamentação formal dos critérios que orientam as análises técnicas por parte dos órgãos de preservação (CONPRESP e CONDEPHAAT), conforme diretrizes definidas no âmbito do convênio que estabeleceu o Escritório Técnico de Gestão Compartilhada; e</w:t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right="-2" w:hanging="0"/>
        <w:jc w:val="both"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CONSIDERANDO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 contido no SEI 6025.2022/0032645-9</w:t>
      </w:r>
      <w:r>
        <w:rPr>
          <w:rFonts w:ascii="Calibri" w:hAnsi="Calibri"/>
          <w:b/>
          <w:sz w:val="24"/>
          <w:szCs w:val="24"/>
        </w:rPr>
        <w:t>;</w:t>
      </w:r>
    </w:p>
    <w:p>
      <w:pPr>
        <w:pStyle w:val="Normal"/>
        <w:spacing w:lineRule="auto" w:line="360"/>
        <w:ind w:right="-2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360"/>
        <w:ind w:right="-676" w:hanging="0"/>
        <w:jc w:val="both"/>
        <w:rPr>
          <w:sz w:val="24"/>
          <w:szCs w:val="24"/>
        </w:rPr>
      </w:pPr>
      <w:r>
        <w:rPr>
          <w:rFonts w:cs="Tahoma" w:ascii="Calibri" w:hAnsi="Calibri"/>
          <w:b/>
          <w:color w:val="000000"/>
          <w:sz w:val="24"/>
          <w:szCs w:val="24"/>
        </w:rPr>
        <w:t xml:space="preserve">RESOLVE: </w:t>
      </w:r>
    </w:p>
    <w:p>
      <w:pPr>
        <w:pStyle w:val="Normal"/>
        <w:spacing w:lineRule="auto" w:line="360"/>
        <w:ind w:right="-676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360"/>
        <w:ind w:right="-2" w:hanging="0"/>
        <w:jc w:val="both"/>
        <w:rPr>
          <w:sz w:val="24"/>
          <w:szCs w:val="24"/>
        </w:rPr>
      </w:pPr>
      <w:r>
        <w:rPr>
          <w:rFonts w:cs="Tahoma" w:ascii="Calibri" w:hAnsi="Calibri"/>
          <w:b/>
          <w:color w:val="000000"/>
          <w:sz w:val="24"/>
          <w:szCs w:val="24"/>
        </w:rPr>
        <w:t xml:space="preserve">Artigo 1º - REGULAMENTAR A ÁREA ENVOLTÓRIA DA SEDE DO ANTIGO SÍTIO </w:t>
      </w:r>
      <w:r>
        <w:rPr>
          <w:rFonts w:ascii="Calibri" w:hAnsi="Calibri"/>
          <w:b/>
          <w:bCs/>
          <w:color w:val="000000"/>
          <w:sz w:val="24"/>
          <w:szCs w:val="24"/>
        </w:rPr>
        <w:t>ITAIM</w:t>
      </w:r>
      <w:r>
        <w:rPr>
          <w:rFonts w:ascii="Calibri" w:hAnsi="Calibri"/>
          <w:color w:val="000000"/>
          <w:sz w:val="24"/>
          <w:szCs w:val="24"/>
        </w:rPr>
        <w:t>,</w:t>
      </w:r>
      <w:r>
        <w:rPr>
          <w:rFonts w:ascii="Calibri" w:hAnsi="Calibri"/>
          <w:color w:val="C9211E"/>
          <w:sz w:val="24"/>
          <w:szCs w:val="24"/>
        </w:rPr>
        <w:t xml:space="preserve"> </w:t>
      </w:r>
      <w:r>
        <w:rPr>
          <w:rFonts w:cs="Tahoma" w:ascii="Calibri" w:hAnsi="Calibri"/>
          <w:color w:val="000000"/>
          <w:sz w:val="24"/>
          <w:szCs w:val="24"/>
        </w:rPr>
        <w:t xml:space="preserve">com antigo </w:t>
      </w:r>
      <w:r>
        <w:rPr>
          <w:rFonts w:cs="Tahoma" w:ascii="Calibri" w:hAnsi="Calibri"/>
          <w:color w:val="000000" w:themeColor="text1"/>
          <w:sz w:val="24"/>
          <w:szCs w:val="24"/>
        </w:rPr>
        <w:t xml:space="preserve">endereço à Rua Iguatemi, n° 9, atual </w:t>
      </w:r>
      <w:r>
        <w:rPr>
          <w:rFonts w:cs="Tahoma" w:ascii="Calibri" w:hAnsi="Calibri"/>
          <w:b w:val="false"/>
          <w:bCs w:val="false"/>
          <w:color w:val="000000" w:themeColor="text1"/>
          <w:sz w:val="24"/>
          <w:szCs w:val="24"/>
        </w:rPr>
        <w:t xml:space="preserve">Avenida Brigadeiro Faria Lima, Nº 3477, Setor 299 - Quadra 014 - Lote 0178-8 </w:t>
      </w:r>
      <w:r>
        <w:rPr>
          <w:rFonts w:cs="Tahoma" w:ascii="Calibri" w:hAnsi="Calibri"/>
          <w:color w:val="000000" w:themeColor="text1"/>
          <w:sz w:val="24"/>
          <w:szCs w:val="24"/>
        </w:rPr>
        <w:t xml:space="preserve">do Condomínio 03 (Condomínio Pátio Victor Malzoni) </w:t>
      </w:r>
      <w:r>
        <w:rPr>
          <w:rFonts w:cs="Tahoma" w:ascii="Calibri" w:hAnsi="Calibri"/>
          <w:color w:val="000000"/>
          <w:sz w:val="24"/>
          <w:szCs w:val="24"/>
        </w:rPr>
        <w:t>do Cadastro de Contribuintes da Secretaria Municipal da Fazenda, bem tombado pela resolução 05/CONPRESP/1991 – Item 48.</w:t>
      </w:r>
    </w:p>
    <w:p>
      <w:pPr>
        <w:pStyle w:val="Normal"/>
        <w:spacing w:lineRule="auto" w:line="360"/>
        <w:ind w:right="-2" w:hanging="0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cs="Tahoma"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360"/>
        <w:ind w:right="-2" w:hanging="0"/>
        <w:jc w:val="both"/>
        <w:rPr>
          <w:sz w:val="24"/>
          <w:szCs w:val="24"/>
        </w:rPr>
      </w:pPr>
      <w:r>
        <w:rPr>
          <w:rFonts w:cs="Tahoma" w:ascii="Calibri" w:hAnsi="Calibri"/>
          <w:b/>
          <w:color w:val="000000"/>
          <w:sz w:val="24"/>
          <w:szCs w:val="24"/>
        </w:rPr>
        <w:t xml:space="preserve">Artigo 2º - </w:t>
      </w:r>
      <w:r>
        <w:rPr>
          <w:rFonts w:cs="Tahoma" w:ascii="Calibri" w:hAnsi="Calibri"/>
          <w:b w:val="false"/>
          <w:bCs w:val="false"/>
          <w:color w:val="000000"/>
          <w:sz w:val="24"/>
          <w:szCs w:val="24"/>
        </w:rPr>
        <w:t xml:space="preserve">Em complementação à Resolução 05/Conpresp/1991, a área tombada fica </w:t>
      </w:r>
      <w:r>
        <w:rPr>
          <w:rFonts w:ascii="Calibri" w:hAnsi="Calibri"/>
          <w:sz w:val="24"/>
          <w:szCs w:val="24"/>
        </w:rPr>
        <w:t xml:space="preserve">delimitada pelos seguintes pontos identificados com suas respectivas coordenadas UTM, </w:t>
      </w:r>
      <w:r>
        <w:rPr>
          <w:rFonts w:ascii="Calibri" w:hAnsi="Calibri"/>
          <w:i/>
          <w:sz w:val="24"/>
          <w:szCs w:val="24"/>
        </w:rPr>
        <w:t xml:space="preserve">datum </w:t>
      </w:r>
      <w:r>
        <w:rPr>
          <w:rFonts w:ascii="Calibri" w:hAnsi="Calibri"/>
          <w:sz w:val="24"/>
          <w:szCs w:val="24"/>
        </w:rPr>
        <w:t>SIRGAS 2000 – 23S, e conforme mapas ilustrativos anexos:</w:t>
      </w:r>
    </w:p>
    <w:p>
      <w:pPr>
        <w:pStyle w:val="Normal"/>
        <w:spacing w:lineRule="auto" w:line="360"/>
        <w:ind w:right="-2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459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/>
      </w:tblPr>
      <w:tblGrid>
        <w:gridCol w:w="929"/>
        <w:gridCol w:w="1801"/>
        <w:gridCol w:w="1860"/>
      </w:tblGrid>
      <w:tr>
        <w:trPr/>
        <w:tc>
          <w:tcPr>
            <w:tcW w:w="4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-2" w:hanging="0"/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cs="Tahoma" w:ascii="Calibri" w:hAnsi="Calibri"/>
                <w:b/>
                <w:bCs/>
                <w:color w:val="000000"/>
                <w:sz w:val="24"/>
                <w:szCs w:val="24"/>
              </w:rPr>
              <w:t>Quadro I</w:t>
            </w:r>
          </w:p>
        </w:tc>
      </w:tr>
      <w:tr>
        <w:trPr/>
        <w:tc>
          <w:tcPr>
            <w:tcW w:w="4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-2" w:hanging="0"/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cs="Tahoma" w:ascii="Calibri" w:hAnsi="Calibri"/>
                <w:b/>
                <w:bCs/>
                <w:color w:val="000000"/>
                <w:sz w:val="24"/>
                <w:szCs w:val="24"/>
              </w:rPr>
              <w:t>Área tombada</w:t>
            </w:r>
          </w:p>
        </w:tc>
      </w:tr>
      <w:tr>
        <w:trPr/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-2" w:hanging="0"/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cs="Tahoma" w:ascii="Calibri" w:hAnsi="Calibri"/>
                <w:b/>
                <w:bCs/>
                <w:color w:val="000000"/>
                <w:sz w:val="24"/>
                <w:szCs w:val="24"/>
              </w:rPr>
              <w:t>Ponto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-2" w:hanging="0"/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cs="Tahoma" w:ascii="Calibri" w:hAnsi="Calibri"/>
                <w:b/>
                <w:bCs/>
                <w:color w:val="000000"/>
                <w:sz w:val="24"/>
                <w:szCs w:val="24"/>
              </w:rPr>
              <w:t>Coordenada 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-2" w:hanging="0"/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cs="Tahoma" w:ascii="Calibri" w:hAnsi="Calibri"/>
                <w:b/>
                <w:bCs/>
                <w:color w:val="000000"/>
                <w:sz w:val="24"/>
                <w:szCs w:val="24"/>
              </w:rPr>
              <w:t>Coordenada N</w:t>
            </w:r>
          </w:p>
        </w:tc>
      </w:tr>
      <w:tr>
        <w:trPr/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Arial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/>
                <w:b/>
                <w:sz w:val="24"/>
                <w:szCs w:val="24"/>
              </w:rPr>
              <w:t>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>328369,428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>7390580,228</w:t>
            </w:r>
          </w:p>
        </w:tc>
      </w:tr>
      <w:tr>
        <w:trPr/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Arial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/>
                <w:b/>
                <w:sz w:val="24"/>
                <w:szCs w:val="24"/>
              </w:rPr>
              <w:t>b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>328418,875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>7390592,843</w:t>
            </w:r>
          </w:p>
        </w:tc>
      </w:tr>
      <w:tr>
        <w:trPr/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Arial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/>
                <w:b/>
                <w:sz w:val="24"/>
                <w:szCs w:val="24"/>
              </w:rPr>
              <w:t>c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>328379,454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>7390541,501</w:t>
            </w:r>
          </w:p>
        </w:tc>
      </w:tr>
      <w:tr>
        <w:trPr/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Arial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/>
                <w:b/>
                <w:sz w:val="24"/>
                <w:szCs w:val="24"/>
              </w:rPr>
              <w:t>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>328430,472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>7390554,563</w:t>
            </w:r>
          </w:p>
        </w:tc>
      </w:tr>
    </w:tbl>
    <w:p>
      <w:pPr>
        <w:pStyle w:val="Normal"/>
        <w:spacing w:lineRule="auto" w:line="360"/>
        <w:ind w:right="-2" w:hanging="0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cs="Tahoma"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360"/>
        <w:ind w:right="-2" w:hanging="0"/>
        <w:jc w:val="both"/>
        <w:rPr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Parágrafo Único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- </w:t>
      </w:r>
      <w:r>
        <w:rPr>
          <w:rFonts w:cs="Tahoma" w:ascii="Calibri" w:hAnsi="Calibri"/>
          <w:color w:val="000000"/>
          <w:sz w:val="24"/>
          <w:szCs w:val="24"/>
        </w:rPr>
        <w:t>Ficam estabelecidas as seguintes diretrizes para intervenção na área tombada:</w:t>
      </w:r>
    </w:p>
    <w:p>
      <w:pPr>
        <w:pStyle w:val="Normal"/>
        <w:numPr>
          <w:ilvl w:val="0"/>
          <w:numId w:val="1"/>
        </w:numPr>
        <w:spacing w:lineRule="auto" w:line="360"/>
        <w:ind w:left="1428" w:right="-2" w:hanging="720"/>
        <w:jc w:val="both"/>
        <w:rPr>
          <w:sz w:val="24"/>
          <w:szCs w:val="24"/>
        </w:rPr>
      </w:pPr>
      <w:r>
        <w:rPr>
          <w:rFonts w:cs="Tahoma" w:ascii="Calibri" w:hAnsi="Calibri"/>
          <w:color w:val="000000"/>
          <w:sz w:val="24"/>
          <w:szCs w:val="24"/>
        </w:rPr>
        <w:t>Não serão permitidas novas construções na área tombada;</w:t>
      </w:r>
    </w:p>
    <w:p>
      <w:pPr>
        <w:pStyle w:val="Normal"/>
        <w:numPr>
          <w:ilvl w:val="0"/>
          <w:numId w:val="1"/>
        </w:numPr>
        <w:spacing w:lineRule="auto" w:line="360"/>
        <w:ind w:left="1428" w:right="-2" w:hanging="720"/>
        <w:jc w:val="both"/>
        <w:rPr>
          <w:sz w:val="24"/>
          <w:szCs w:val="24"/>
        </w:rPr>
      </w:pPr>
      <w:r>
        <w:rPr>
          <w:rFonts w:cs="Tahoma" w:ascii="Calibri" w:hAnsi="Calibri"/>
          <w:color w:val="000000"/>
          <w:sz w:val="24"/>
          <w:szCs w:val="24"/>
        </w:rPr>
        <w:t>As intervenções na área estabelecida no caput deste artigo deverão contar com prévia análise e deliberação do DPH/CONPRESP.</w:t>
      </w:r>
    </w:p>
    <w:p>
      <w:pPr>
        <w:pStyle w:val="Normal"/>
        <w:spacing w:lineRule="auto" w:line="360"/>
        <w:ind w:right="-2" w:hanging="0"/>
        <w:jc w:val="both"/>
        <w:rPr>
          <w:rFonts w:ascii="Calibri" w:hAnsi="Calibri" w:eastAsia="Batang" w:cs="Tahoma"/>
          <w:b/>
          <w:b/>
          <w:color w:val="000000"/>
          <w:sz w:val="24"/>
          <w:szCs w:val="24"/>
        </w:rPr>
      </w:pPr>
      <w:r>
        <w:rPr>
          <w:rFonts w:eastAsia="Batang" w:cs="Tahoma" w:ascii="Calibri" w:hAnsi="Calibri"/>
          <w:b/>
          <w:color w:val="000000"/>
          <w:sz w:val="24"/>
          <w:szCs w:val="24"/>
        </w:rPr>
      </w:r>
    </w:p>
    <w:p>
      <w:pPr>
        <w:pStyle w:val="Normal"/>
        <w:spacing w:lineRule="auto" w:line="360"/>
        <w:ind w:right="-2" w:hanging="0"/>
        <w:jc w:val="both"/>
        <w:rPr>
          <w:sz w:val="24"/>
          <w:szCs w:val="24"/>
        </w:rPr>
      </w:pPr>
      <w:r>
        <w:rPr>
          <w:rFonts w:eastAsia="Batang" w:cs="Tahoma" w:ascii="Calibri" w:hAnsi="Calibri"/>
          <w:b/>
          <w:color w:val="000000"/>
          <w:sz w:val="24"/>
          <w:szCs w:val="24"/>
        </w:rPr>
        <w:t xml:space="preserve">Artigo 3º - </w:t>
      </w:r>
      <w:r>
        <w:rPr>
          <w:rFonts w:eastAsia="Batang" w:cs="Tahoma" w:ascii="Calibri" w:hAnsi="Calibri"/>
          <w:color w:val="000000"/>
          <w:sz w:val="24"/>
          <w:szCs w:val="24"/>
        </w:rPr>
        <w:t xml:space="preserve">Fica estabelecida como área envoltória da </w:t>
      </w:r>
      <w:r>
        <w:rPr>
          <w:rFonts w:cs="Tahoma" w:ascii="Calibri" w:hAnsi="Calibri"/>
          <w:color w:val="000000"/>
          <w:sz w:val="24"/>
          <w:szCs w:val="24"/>
        </w:rPr>
        <w:t>antiga Sede do Sítio Itaim a Quadra 014 do Setor 299, do cadastro de contribuintes de Secretaria Municipal da Fazenda, delimitada pela Av. Brigadeiro Faria Lima, R. Aspásia, R. Iguatemi, R. Victor Malzoni e Av. Horácio Lafer, excluindo-se a área tombada estabelecida no Artigo 2°, conforme mapas anexos.</w:t>
      </w:r>
    </w:p>
    <w:p>
      <w:pPr>
        <w:pStyle w:val="Normal"/>
        <w:spacing w:lineRule="auto" w:line="360"/>
        <w:ind w:right="-2" w:hanging="0"/>
        <w:jc w:val="both"/>
        <w:rPr>
          <w:rFonts w:ascii="Calibri" w:hAnsi="Calibri" w:eastAsia="Batang" w:cs="Tahoma"/>
          <w:color w:val="000000"/>
          <w:sz w:val="24"/>
          <w:szCs w:val="24"/>
        </w:rPr>
      </w:pPr>
      <w:r>
        <w:rPr>
          <w:rFonts w:eastAsia="Batang" w:cs="Tahoma"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360"/>
        <w:ind w:right="-2" w:hanging="0"/>
        <w:jc w:val="both"/>
        <w:rPr>
          <w:sz w:val="24"/>
          <w:szCs w:val="24"/>
        </w:rPr>
      </w:pPr>
      <w:r>
        <w:rPr>
          <w:rFonts w:eastAsia="Batang" w:cs="Tahoma" w:ascii="Calibri" w:hAnsi="Calibri"/>
          <w:b/>
          <w:color w:val="000000"/>
          <w:sz w:val="24"/>
          <w:szCs w:val="24"/>
        </w:rPr>
        <w:t>Artigo 4º</w:t>
      </w:r>
      <w:r>
        <w:rPr>
          <w:rFonts w:eastAsia="Batang" w:cs="Tahoma" w:ascii="Calibri" w:hAnsi="Calibri"/>
          <w:color w:val="000000"/>
          <w:sz w:val="24"/>
          <w:szCs w:val="24"/>
        </w:rPr>
        <w:t xml:space="preserve"> - As intervenções pretendidas na área envoltória estabelecida no artigo 3º deverão ser previamente analisadas e deliberadas pelo </w:t>
      </w:r>
      <w:r>
        <w:rPr>
          <w:rFonts w:ascii="Calibri" w:hAnsi="Calibri"/>
          <w:sz w:val="24"/>
          <w:szCs w:val="24"/>
        </w:rPr>
        <w:t>DPH/CONPRESP</w:t>
      </w:r>
      <w:r>
        <w:rPr>
          <w:rFonts w:eastAsia="Batang" w:cs="Tahoma" w:ascii="Calibri" w:hAnsi="Calibri"/>
          <w:color w:val="000000"/>
          <w:sz w:val="24"/>
          <w:szCs w:val="24"/>
        </w:rPr>
        <w:t>, sendo avaliados aspectos como: composição de materiais e massas vegetais, cores, texturas, formas, relação entre cheios e vazios, inclinação dos telhados, entre outros pertinentes à ambiência e visibilidade do bem tombado, devendo as intervenções resultar em relação harmônica com este.</w:t>
      </w:r>
    </w:p>
    <w:p>
      <w:pPr>
        <w:pStyle w:val="Normal"/>
        <w:spacing w:lineRule="auto" w:line="360"/>
        <w:ind w:right="-2" w:hanging="0"/>
        <w:jc w:val="both"/>
        <w:rPr>
          <w:rFonts w:ascii="Calibri" w:hAnsi="Calibri" w:eastAsia="Batang" w:cs="Tahoma"/>
          <w:color w:val="000000"/>
          <w:sz w:val="24"/>
          <w:szCs w:val="24"/>
        </w:rPr>
      </w:pPr>
      <w:r>
        <w:rPr>
          <w:rFonts w:eastAsia="Batang" w:cs="Tahoma"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360"/>
        <w:ind w:right="-2" w:hanging="0"/>
        <w:jc w:val="both"/>
        <w:rPr>
          <w:sz w:val="24"/>
          <w:szCs w:val="24"/>
        </w:rPr>
      </w:pPr>
      <w:r>
        <w:rPr>
          <w:rFonts w:eastAsia="Batang" w:cs="Tahoma" w:ascii="Calibri" w:hAnsi="Calibri"/>
          <w:b/>
          <w:bCs/>
          <w:i w:val="false"/>
          <w:iCs w:val="false"/>
          <w:color w:val="000000"/>
          <w:sz w:val="24"/>
          <w:szCs w:val="24"/>
        </w:rPr>
        <w:t>Parágrafo único:</w:t>
      </w:r>
      <w:r>
        <w:rPr>
          <w:rFonts w:eastAsia="Batang" w:cs="Tahoma" w:ascii="Calibri" w:hAnsi="Calibri"/>
          <w:color w:val="000000"/>
          <w:sz w:val="24"/>
          <w:szCs w:val="24"/>
        </w:rPr>
        <w:t xml:space="preserve"> As intervenções realizadas exclusivamente no interior de edificações situadas na área envoltória referida no caput, sempre que não impliquem, ainda que de forma indireta, alterações nas fachadas externas e coberturas, ficam dispensadas de prévia análise e aprovação do DPH/CONPRESP.</w:t>
      </w:r>
    </w:p>
    <w:p>
      <w:pPr>
        <w:pStyle w:val="Normal"/>
        <w:spacing w:lineRule="auto" w:line="360"/>
        <w:ind w:right="-2" w:hanging="0"/>
        <w:jc w:val="both"/>
        <w:rPr>
          <w:rFonts w:ascii="Calibri" w:hAnsi="Calibri" w:eastAsia="Batang" w:cs="Tahoma"/>
          <w:color w:val="000000"/>
          <w:sz w:val="24"/>
          <w:szCs w:val="24"/>
        </w:rPr>
      </w:pPr>
      <w:r>
        <w:rPr>
          <w:rFonts w:eastAsia="Batang" w:cs="Tahoma"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360"/>
        <w:ind w:right="-2" w:hanging="0"/>
        <w:jc w:val="both"/>
        <w:rPr>
          <w:sz w:val="24"/>
          <w:szCs w:val="24"/>
        </w:rPr>
      </w:pPr>
      <w:r>
        <w:rPr>
          <w:rFonts w:cs="Tahoma" w:ascii="Calibri" w:hAnsi="Calibri"/>
          <w:b/>
          <w:color w:val="000000"/>
          <w:sz w:val="24"/>
          <w:szCs w:val="24"/>
        </w:rPr>
        <w:t>Artigo 5º</w:t>
      </w:r>
      <w:r>
        <w:rPr>
          <w:rFonts w:cs="Tahoma" w:ascii="Calibri" w:hAnsi="Calibri"/>
          <w:color w:val="000000"/>
          <w:sz w:val="24"/>
          <w:szCs w:val="24"/>
        </w:rPr>
        <w:t xml:space="preserve"> - </w:t>
      </w:r>
      <w:r>
        <w:rPr>
          <w:rFonts w:eastAsia="Batang" w:cs="Tahoma" w:ascii="Calibri" w:hAnsi="Calibri"/>
          <w:color w:val="000000"/>
          <w:sz w:val="24"/>
          <w:szCs w:val="24"/>
        </w:rPr>
        <w:t xml:space="preserve">Ficam expressamente excluídos da área envoltória municipal os demais imóveis </w:t>
      </w:r>
      <w:r>
        <w:rPr>
          <w:rFonts w:ascii="Calibri" w:hAnsi="Calibri"/>
          <w:sz w:val="24"/>
          <w:szCs w:val="24"/>
        </w:rPr>
        <w:t>não listados no artigo 3º desta resolução e que estavam inseridos na anterior área envoltória da antiga sede do Sítio Itaim, com intervenções ficando dispensadas de prévia análise e deliberação do DPH/CONPRESP.</w:t>
      </w:r>
    </w:p>
    <w:p>
      <w:pPr>
        <w:pStyle w:val="Normal"/>
        <w:spacing w:lineRule="auto" w:line="360"/>
        <w:ind w:right="-2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Artigo 6º </w:t>
      </w:r>
      <w:r>
        <w:rPr>
          <w:rFonts w:ascii="Calibri" w:hAnsi="Calibri"/>
          <w:sz w:val="24"/>
          <w:szCs w:val="24"/>
        </w:rPr>
        <w:t xml:space="preserve">- Esta disposição entrará em vigor na data de sua publicação no Diário Oficial da Cidade, revogadas as disposições em contrário. </w:t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  <w:t xml:space="preserve">DOC  </w:t>
      </w:r>
      <w:r>
        <w:rPr>
          <w:rFonts w:ascii="Calibri" w:hAnsi="Calibri"/>
          <w:i w:val="false"/>
          <w:iCs w:val="false"/>
          <w:sz w:val="24"/>
          <w:szCs w:val="24"/>
        </w:rPr>
        <w:t>24</w:t>
      </w:r>
      <w:r>
        <w:rPr>
          <w:rFonts w:ascii="Calibri" w:hAnsi="Calibri"/>
          <w:i w:val="false"/>
          <w:iCs w:val="false"/>
          <w:sz w:val="24"/>
          <w:szCs w:val="24"/>
        </w:rPr>
        <w:t xml:space="preserve">/02/2023 – </w:t>
      </w:r>
      <w:r>
        <w:rPr>
          <w:rFonts w:ascii="Calibri" w:hAnsi="Calibri"/>
          <w:i w:val="false"/>
          <w:iCs w:val="false"/>
          <w:sz w:val="24"/>
          <w:szCs w:val="24"/>
        </w:rPr>
        <w:t>P. 13</w:t>
      </w:r>
    </w:p>
    <w:sectPr>
      <w:headerReference w:type="default" r:id="rId2"/>
      <w:type w:val="nextPage"/>
      <w:pgSz w:w="11906" w:h="16838"/>
      <w:pgMar w:left="1701" w:right="853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33" w:type="dxa"/>
      <w:jc w:val="left"/>
      <w:tblInd w:w="362" w:type="dxa"/>
      <w:tblLayout w:type="fixed"/>
      <w:tblCellMar>
        <w:top w:w="55" w:type="dxa"/>
        <w:left w:w="113" w:type="dxa"/>
        <w:bottom w:w="55" w:type="dxa"/>
        <w:right w:w="113" w:type="dxa"/>
      </w:tblCellMar>
      <w:tblLook w:val="0000"/>
    </w:tblPr>
    <w:tblGrid>
      <w:gridCol w:w="9133"/>
    </w:tblGrid>
    <w:tr>
      <w:trPr>
        <w:trHeight w:val="788" w:hRule="atLeast"/>
        <w:cantSplit w:val="true"/>
      </w:trPr>
      <w:tc>
        <w:tcPr>
          <w:tcW w:w="9133" w:type="dxa"/>
          <w:tcBorders/>
          <w:vAlign w:val="center"/>
        </w:tcPr>
        <w:p>
          <w:pPr>
            <w:pStyle w:val="Cabealho"/>
            <w:widowControl w:val="false"/>
            <w:tabs>
              <w:tab w:val="clear" w:pos="4252"/>
              <w:tab w:val="clear" w:pos="8504"/>
              <w:tab w:val="center" w:pos="3472" w:leader="none"/>
              <w:tab w:val="right" w:pos="9350" w:leader="none"/>
            </w:tabs>
            <w:ind w:hanging="0"/>
            <w:jc w:val="center"/>
            <w:rPr>
              <w:rFonts w:ascii="Arial" w:hAnsi="Arial" w:cs="Calibri"/>
              <w:b/>
              <w:b/>
              <w:bCs/>
              <w:sz w:val="20"/>
              <w:szCs w:val="20"/>
            </w:rPr>
          </w:pPr>
          <w:r>
            <w:rPr>
              <w:rFonts w:cs="Calibri" w:ascii="Arial" w:hAnsi="Arial" w:cstheme="minorHAnsi"/>
              <w:b/>
              <w:bCs/>
              <w:sz w:val="20"/>
              <w:szCs w:val="20"/>
            </w:rPr>
            <w:t>PREFEITURA DO MUNICÍPIO DE SÃO PAULO</w:t>
          </w:r>
        </w:p>
        <w:p>
          <w:pPr>
            <w:pStyle w:val="Cabealho"/>
            <w:widowControl w:val="false"/>
            <w:tabs>
              <w:tab w:val="clear" w:pos="4252"/>
              <w:tab w:val="clear" w:pos="8504"/>
              <w:tab w:val="center" w:pos="3472" w:leader="none"/>
              <w:tab w:val="right" w:pos="8931" w:leader="none"/>
            </w:tabs>
            <w:ind w:hanging="0"/>
            <w:jc w:val="center"/>
            <w:rPr>
              <w:rFonts w:ascii="Arial" w:hAnsi="Arial" w:cs="Calibri"/>
              <w:b/>
              <w:b/>
              <w:bCs/>
              <w:sz w:val="20"/>
              <w:szCs w:val="20"/>
            </w:rPr>
          </w:pPr>
          <w:r>
            <w:rPr>
              <w:rFonts w:cs="Calibri" w:ascii="Arial" w:hAnsi="Arial" w:cstheme="minorHAnsi"/>
              <w:b/>
              <w:bCs/>
              <w:sz w:val="20"/>
              <w:szCs w:val="20"/>
            </w:rPr>
            <w:t>SECRETARIA MUNICIPAL DE CULTURA</w:t>
          </w:r>
        </w:p>
        <w:p>
          <w:pPr>
            <w:pStyle w:val="Cabealho"/>
            <w:widowControl w:val="false"/>
            <w:jc w:val="center"/>
            <w:rPr>
              <w:sz w:val="18"/>
              <w:szCs w:val="18"/>
            </w:rPr>
          </w:pPr>
          <w:r>
            <w:drawing>
              <wp:anchor behindDoc="0" distT="0" distB="0" distL="133350" distR="117475" simplePos="0" locked="0" layoutInCell="1" allowOverlap="1" relativeHeight="4">
                <wp:simplePos x="0" y="0"/>
                <wp:positionH relativeFrom="column">
                  <wp:posOffset>357505</wp:posOffset>
                </wp:positionH>
                <wp:positionV relativeFrom="paragraph">
                  <wp:posOffset>-260985</wp:posOffset>
                </wp:positionV>
                <wp:extent cx="494665" cy="503555"/>
                <wp:effectExtent l="0" t="0" r="0" b="0"/>
                <wp:wrapTight wrapText="bothSides">
                  <wp:wrapPolygon edited="0">
                    <wp:start x="-603" y="0"/>
                    <wp:lineTo x="-603" y="20841"/>
                    <wp:lineTo x="21210" y="20841"/>
                    <wp:lineTo x="21210" y="0"/>
                    <wp:lineTo x="-603" y="0"/>
                  </wp:wrapPolygon>
                </wp:wrapTight>
                <wp:docPr id="1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b/>
              <w:sz w:val="18"/>
              <w:szCs w:val="18"/>
            </w:rPr>
            <w:t>CONPRESP - Conselho Municipal de Preservação do Patrimônio</w:t>
          </w:r>
        </w:p>
        <w:p>
          <w:pPr>
            <w:pStyle w:val="Cabealho"/>
            <w:widowControl w:val="false"/>
            <w:tabs>
              <w:tab w:val="clear" w:pos="4252"/>
              <w:tab w:val="clear" w:pos="8504"/>
              <w:tab w:val="center" w:pos="3472" w:leader="none"/>
              <w:tab w:val="right" w:pos="8931" w:leader="none"/>
            </w:tabs>
            <w:ind w:hanging="0"/>
            <w:jc w:val="center"/>
            <w:rPr>
              <w:rFonts w:ascii="Arial" w:hAnsi="Arial" w:cs="Calibri"/>
              <w:b w:val="false"/>
              <w:b w:val="false"/>
              <w:bCs w:val="false"/>
              <w:sz w:val="18"/>
              <w:szCs w:val="18"/>
            </w:rPr>
          </w:pPr>
          <w:r>
            <w:rPr>
              <w:rFonts w:cs="Calibri" w:ascii="Arial" w:hAnsi="Arial" w:cstheme="minorHAnsi"/>
              <w:b/>
              <w:bCs w:val="false"/>
              <w:sz w:val="18"/>
              <w:szCs w:val="18"/>
            </w:rPr>
            <w:t>Histórico, Cultural e Ambiental da Cidade de São Paulo</w:t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5f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1b11e3"/>
    <w:pPr>
      <w:keepNext w:val="true"/>
      <w:widowControl w:val="false"/>
      <w:suppressAutoHyphens w:val="false"/>
      <w:outlineLvl w:val="1"/>
    </w:pPr>
    <w:rPr>
      <w:rFonts w:ascii="Arial" w:hAnsi="Arial" w:eastAsia="MS Mincho"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e015ff"/>
    <w:rPr>
      <w:rFonts w:ascii="Tahoma" w:hAnsi="Tahoma" w:eastAsia="Batang"/>
      <w:spacing w:val="20"/>
    </w:rPr>
  </w:style>
  <w:style w:type="character" w:styleId="Eop" w:customStyle="1">
    <w:name w:val="eop"/>
    <w:qFormat/>
    <w:rsid w:val="00e015ff"/>
    <w:rPr/>
  </w:style>
  <w:style w:type="character" w:styleId="CorpodetextoChar1" w:customStyle="1">
    <w:name w:val="Corpo de texto Char1"/>
    <w:basedOn w:val="DefaultParagraphFont"/>
    <w:link w:val="Corpodetexto"/>
    <w:uiPriority w:val="99"/>
    <w:semiHidden/>
    <w:qFormat/>
    <w:rsid w:val="00e015ff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015ff"/>
    <w:rPr>
      <w:rFonts w:ascii="Tahoma" w:hAnsi="Tahoma" w:eastAsia="Times New Roman" w:cs="Tahoma"/>
      <w:sz w:val="16"/>
      <w:szCs w:val="16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1b11e3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1b11e3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1b11e3"/>
    <w:rPr>
      <w:rFonts w:ascii="Arial" w:hAnsi="Arial" w:eastAsia="MS Mincho" w:cs="Times New Roman"/>
      <w:color w:val="000000"/>
      <w:sz w:val="24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e015ff"/>
    <w:pPr>
      <w:jc w:val="both"/>
    </w:pPr>
    <w:rPr>
      <w:rFonts w:ascii="Tahoma" w:hAnsi="Tahoma" w:eastAsia="Batang" w:cs="" w:cstheme="minorBidi"/>
      <w:spacing w:val="20"/>
      <w:sz w:val="22"/>
      <w:szCs w:val="22"/>
      <w:lang w:eastAsia="en-US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e015f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015ff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1b11e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1b11e3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LibreOffice/7.1.7.2$Windows_X86_64 LibreOffice_project/c6a4e3954236145e2acb0b65f68614365aeee33f</Application>
  <AppVersion>15.0000</AppVersion>
  <Pages>3</Pages>
  <Words>713</Words>
  <Characters>3984</Characters>
  <CharactersWithSpaces>4662</CharactersWithSpaces>
  <Paragraphs>40</Paragraphs>
  <Company>Arklok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2022-12-16T14:45:00Z</dcterms:created>
  <dc:creator>Marina Chagas Brandão</dc:creator>
  <dc:description/>
  <dc:language>pt-BR</dc:language>
  <cp:lastModifiedBy/>
  <cp:lastPrinted>2023-05-11T12:03:38Z</cp:lastPrinted>
  <dcterms:modified xsi:type="dcterms:W3CDTF">2023-05-11T12:03:33Z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